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ED0478" w14:textId="77777777" w:rsidR="00643B3C" w:rsidRDefault="00643B3C">
      <w:pPr>
        <w:rPr>
          <w:rFonts w:ascii="AvenirNext LT Pro Cn" w:hAnsi="AvenirNext LT Pro Cn"/>
        </w:rPr>
      </w:pPr>
    </w:p>
    <w:p w14:paraId="1FD13069" w14:textId="77777777" w:rsidR="00643B3C" w:rsidRDefault="00A93057">
      <w:pPr>
        <w:rPr>
          <w:rFonts w:ascii="AvenirNext LT Pro Cn" w:hAnsi="AvenirNext LT Pro Cn" w:cstheme="minorHAnsi"/>
          <w:sz w:val="20"/>
          <w:szCs w:val="20"/>
        </w:rPr>
      </w:pPr>
      <w:r>
        <w:rPr>
          <w:rFonts w:ascii="AvenirNext LT Pro Cn" w:hAnsi="AvenirNext LT Pro Cn"/>
        </w:rPr>
        <w:t>Press release – 26 May 2025</w:t>
      </w:r>
    </w:p>
    <w:p w14:paraId="373AE431" w14:textId="77777777" w:rsidR="00643B3C" w:rsidRDefault="00643B3C">
      <w:pPr>
        <w:pStyle w:val="NormalWeb"/>
        <w:spacing w:before="0" w:beforeAutospacing="0" w:after="0" w:afterAutospacing="0"/>
        <w:jc w:val="center"/>
        <w:rPr>
          <w:rFonts w:ascii="AvenirNext LT Pro Cn" w:hAnsi="AvenirNext LT Pro Cn" w:cstheme="minorBidi"/>
          <w:color w:val="auto"/>
          <w:sz w:val="36"/>
          <w:szCs w:val="36"/>
        </w:rPr>
      </w:pPr>
    </w:p>
    <w:p w14:paraId="69510C0B" w14:textId="77777777" w:rsidR="00643B3C" w:rsidRDefault="00A93057">
      <w:pPr>
        <w:pStyle w:val="NormalWeb"/>
        <w:spacing w:before="0" w:beforeAutospacing="0" w:after="0" w:afterAutospacing="0"/>
        <w:jc w:val="center"/>
        <w:rPr>
          <w:rFonts w:ascii="AvenirNext LT Pro Cn" w:hAnsi="AvenirNext LT Pro Cn" w:cstheme="minorHAnsi"/>
          <w:b/>
          <w:color w:val="auto"/>
          <w:sz w:val="36"/>
          <w:szCs w:val="36"/>
        </w:rPr>
      </w:pPr>
      <w:r>
        <w:rPr>
          <w:rFonts w:ascii="AvenirNext LT Pro Cn" w:hAnsi="AvenirNext LT Pro Cn"/>
          <w:b/>
          <w:color w:val="auto"/>
          <w:sz w:val="36"/>
        </w:rPr>
        <w:t>Using bacteria to improve microbiota resistance to pathogens</w:t>
      </w:r>
    </w:p>
    <w:p w14:paraId="6547FB3A" w14:textId="77777777" w:rsidR="00643B3C" w:rsidRDefault="00643B3C">
      <w:pPr>
        <w:pStyle w:val="NormalWeb"/>
        <w:spacing w:before="0" w:beforeAutospacing="0" w:after="0" w:afterAutospacing="0"/>
        <w:jc w:val="center"/>
        <w:rPr>
          <w:rFonts w:ascii="AvenirNext LT Pro Cn" w:hAnsi="AvenirNext LT Pro Cn" w:cstheme="minorHAnsi"/>
          <w:color w:val="auto"/>
        </w:rPr>
      </w:pPr>
    </w:p>
    <w:p w14:paraId="157DDC3B" w14:textId="77777777" w:rsidR="00643B3C" w:rsidRDefault="00A93057">
      <w:pPr>
        <w:pStyle w:val="NormalWeb"/>
        <w:spacing w:before="0" w:beforeAutospacing="0" w:after="0" w:afterAutospacing="0"/>
        <w:jc w:val="both"/>
        <w:rPr>
          <w:rFonts w:ascii="AvenirNext LT Pro Cn" w:hAnsi="AvenirNext LT Pro Cn" w:cstheme="minorHAnsi"/>
          <w:b/>
          <w:color w:val="auto"/>
          <w:sz w:val="24"/>
          <w:szCs w:val="24"/>
        </w:rPr>
      </w:pPr>
      <w:r>
        <w:rPr>
          <w:rFonts w:ascii="AvenirNext LT Pro Cn" w:hAnsi="AvenirNext LT Pro Cn"/>
          <w:b/>
          <w:color w:val="auto"/>
          <w:sz w:val="24"/>
        </w:rPr>
        <w:t xml:space="preserve">INRAE scientists have identified seven bacteria involved in the microbiota barrier effect, which prevents pathogenic bacteria from proliferating. These findings, published in </w:t>
      </w:r>
      <w:r>
        <w:rPr>
          <w:rFonts w:ascii="AvenirNext LT Pro Cn" w:hAnsi="AvenirNext LT Pro Cn"/>
          <w:b/>
          <w:i/>
          <w:color w:val="auto"/>
          <w:sz w:val="24"/>
        </w:rPr>
        <w:t>Microbiome</w:t>
      </w:r>
      <w:r>
        <w:rPr>
          <w:rFonts w:ascii="AvenirNext LT Pro Cn" w:hAnsi="AvenirNext LT Pro Cn"/>
          <w:b/>
          <w:color w:val="auto"/>
          <w:sz w:val="24"/>
        </w:rPr>
        <w:t xml:space="preserve">, highlight the importance of the host microbiota composition in the success of a treatment based on beneficial bacteria. </w:t>
      </w:r>
    </w:p>
    <w:p w14:paraId="18767616" w14:textId="77777777" w:rsidR="00643B3C" w:rsidRDefault="00643B3C">
      <w:pPr>
        <w:pStyle w:val="NormalWeb"/>
        <w:spacing w:before="0" w:beforeAutospacing="0" w:after="0" w:afterAutospacing="0"/>
        <w:jc w:val="both"/>
        <w:rPr>
          <w:rFonts w:ascii="AvenirNext LT Pro Cn" w:hAnsi="AvenirNext LT Pro Cn" w:cstheme="minorHAnsi"/>
          <w:color w:val="auto"/>
        </w:rPr>
      </w:pPr>
    </w:p>
    <w:p w14:paraId="139CFBBE" w14:textId="77777777" w:rsidR="00643B3C" w:rsidRDefault="00643B3C">
      <w:pPr>
        <w:pStyle w:val="NormalWeb"/>
        <w:spacing w:before="0" w:beforeAutospacing="0" w:after="0" w:afterAutospacing="0"/>
        <w:jc w:val="both"/>
        <w:rPr>
          <w:rFonts w:ascii="AvenirNext LT Pro Cn" w:hAnsi="AvenirNext LT Pro Cn" w:cs="Arial"/>
          <w:b/>
          <w:bCs/>
        </w:rPr>
      </w:pPr>
    </w:p>
    <w:p w14:paraId="08726206" w14:textId="77777777" w:rsidR="00643B3C" w:rsidRDefault="00A93057">
      <w:pPr>
        <w:pStyle w:val="Textecourant"/>
        <w:rPr>
          <w:sz w:val="22"/>
          <w:szCs w:val="22"/>
        </w:rPr>
      </w:pPr>
      <w:r>
        <w:rPr>
          <w:sz w:val="22"/>
        </w:rPr>
        <w:t>Antibiotic resistance is a major concern, particularly for immunocompromised patients, who are at greater risk of serious infections.</w:t>
      </w:r>
    </w:p>
    <w:p w14:paraId="272723EC" w14:textId="77777777" w:rsidR="00643B3C" w:rsidRDefault="00A93057">
      <w:pPr>
        <w:pStyle w:val="Textecourant"/>
        <w:rPr>
          <w:sz w:val="22"/>
          <w:szCs w:val="22"/>
        </w:rPr>
      </w:pPr>
      <w:r>
        <w:rPr>
          <w:sz w:val="22"/>
        </w:rPr>
        <w:t>Microbiota composition can help prevent pathogenic bacteria from proliferating, which is known as the barrier effect. Targeted therapies are being developed to restore the microbiota by introducing beneficial bacteria.</w:t>
      </w:r>
    </w:p>
    <w:p w14:paraId="2399E0DD" w14:textId="2D6DEF4F" w:rsidR="00643B3C" w:rsidRDefault="00A93057">
      <w:pPr>
        <w:pStyle w:val="Textecourant"/>
        <w:rPr>
          <w:sz w:val="22"/>
          <w:szCs w:val="22"/>
        </w:rPr>
      </w:pPr>
      <w:r>
        <w:rPr>
          <w:sz w:val="22"/>
        </w:rPr>
        <w:t>In this study, INRAE scientists focused on one type of bacteria: vancomycin-resistant enterococci</w:t>
      </w:r>
      <w:r w:rsidR="003B4211">
        <w:rPr>
          <w:sz w:val="22"/>
        </w:rPr>
        <w:t>,</w:t>
      </w:r>
      <w:r>
        <w:rPr>
          <w:rStyle w:val="Appelnotedebasdep"/>
          <w:sz w:val="22"/>
          <w:szCs w:val="22"/>
        </w:rPr>
        <w:footnoteReference w:id="1"/>
      </w:r>
      <w:r>
        <w:rPr>
          <w:sz w:val="22"/>
        </w:rPr>
        <w:t xml:space="preserve"> or VRE. These bacteria are on a list established by the World Health Organization of six multi</w:t>
      </w:r>
      <w:r w:rsidR="000A1349">
        <w:rPr>
          <w:sz w:val="22"/>
        </w:rPr>
        <w:t>drug-</w:t>
      </w:r>
      <w:r>
        <w:rPr>
          <w:sz w:val="22"/>
        </w:rPr>
        <w:t xml:space="preserve">resistant pathogens with priority status. The aim of this study was to identify the bacteria involved in the barrier effect and prove their effectiveness in preventing the proliferation of pathogenic bacteria, with a view to developing a therapeutic strategy. </w:t>
      </w:r>
    </w:p>
    <w:p w14:paraId="615446BD" w14:textId="77777777" w:rsidR="00643B3C" w:rsidRDefault="00A93057">
      <w:pPr>
        <w:pStyle w:val="Textecourant"/>
        <w:rPr>
          <w:sz w:val="22"/>
          <w:szCs w:val="22"/>
        </w:rPr>
      </w:pPr>
      <w:r>
        <w:rPr>
          <w:sz w:val="22"/>
        </w:rPr>
        <w:t xml:space="preserve">Researchers took microbiota samples from mouse models that had been orally injected with enterococci. Using mathematical modelling, they identified seven bacteria out of more than 500 different species with a potential barrier effect: the more these bacteria were present, the fewer the pathogenic bacteria. </w:t>
      </w:r>
    </w:p>
    <w:p w14:paraId="792AB34C" w14:textId="77777777" w:rsidR="00643B3C" w:rsidRDefault="00A93057">
      <w:pPr>
        <w:pStyle w:val="Textecourant"/>
        <w:rPr>
          <w:sz w:val="22"/>
          <w:szCs w:val="22"/>
        </w:rPr>
      </w:pPr>
      <w:r>
        <w:rPr>
          <w:sz w:val="22"/>
        </w:rPr>
        <w:t xml:space="preserve">To prove the efficacy of these seven bacteria, the scientists compared mice treated with an antibiotic and infected with a VRE with and without administration of the bacterial mixture. The researchers found that the level of proliferation of pathogenic bacteria was lower with the addition of the bacterial mixture. </w:t>
      </w:r>
    </w:p>
    <w:p w14:paraId="762D675D" w14:textId="77777777" w:rsidR="00643B3C" w:rsidRDefault="00A93057">
      <w:pPr>
        <w:pStyle w:val="Textecourant"/>
        <w:rPr>
          <w:sz w:val="22"/>
          <w:szCs w:val="22"/>
        </w:rPr>
      </w:pPr>
      <w:r>
        <w:rPr>
          <w:sz w:val="22"/>
        </w:rPr>
        <w:t>The efficacy of the bacterial mixture varied between the mice, which highlights the importance of the initial microbiota, as in humans. Laboratory experiments have shown that the seven bacteria alone could not inhibit the proliferation of pathogens in vitro, and initial results suggest that it is the combination of the bacterial mixture with the bacteria comprising the host microbiota that makes the treatment effective.</w:t>
      </w:r>
    </w:p>
    <w:p w14:paraId="46E34542" w14:textId="77777777" w:rsidR="00643B3C" w:rsidRDefault="00A93057">
      <w:pPr>
        <w:pStyle w:val="Textecourant"/>
        <w:rPr>
          <w:sz w:val="22"/>
          <w:szCs w:val="22"/>
        </w:rPr>
      </w:pPr>
      <w:r>
        <w:rPr>
          <w:sz w:val="22"/>
        </w:rPr>
        <w:t xml:space="preserve">As well as working to improve our understanding of the anti-proliferative effects of bacteria and the associated mechanisms, the scientists’ next objective will be to gather a large repertoire of microorganisms from human microbiota to then consider applications in humans. </w:t>
      </w:r>
    </w:p>
    <w:p w14:paraId="17E4D32A" w14:textId="240AA708" w:rsidR="00643B3C" w:rsidRDefault="00A93057">
      <w:pPr>
        <w:pStyle w:val="Textecourant"/>
        <w:rPr>
          <w:sz w:val="22"/>
          <w:szCs w:val="22"/>
        </w:rPr>
      </w:pPr>
      <w:r>
        <w:rPr>
          <w:sz w:val="22"/>
        </w:rPr>
        <w:t>Based on a personalized medicine approach, the researchers are also working on predictive biomarkers</w:t>
      </w:r>
      <w:r w:rsidR="003B4211">
        <w:rPr>
          <w:sz w:val="22"/>
        </w:rPr>
        <w:t>. The process</w:t>
      </w:r>
      <w:r>
        <w:rPr>
          <w:sz w:val="22"/>
        </w:rPr>
        <w:t xml:space="preserve"> involves identifying different species of bacteria in a patient’s microbiota</w:t>
      </w:r>
      <w:r w:rsidR="00A717DD">
        <w:rPr>
          <w:sz w:val="22"/>
        </w:rPr>
        <w:t xml:space="preserve"> in order</w:t>
      </w:r>
      <w:r>
        <w:rPr>
          <w:sz w:val="22"/>
        </w:rPr>
        <w:t xml:space="preserve"> to estimate whether the bacterial treatment will work or to adapt it accordingly. </w:t>
      </w:r>
    </w:p>
    <w:p w14:paraId="4085B219" w14:textId="77777777" w:rsidR="00643B3C" w:rsidRDefault="00643B3C">
      <w:pPr>
        <w:pStyle w:val="Textecourant"/>
        <w:rPr>
          <w:sz w:val="22"/>
          <w:szCs w:val="22"/>
        </w:rPr>
      </w:pPr>
    </w:p>
    <w:p w14:paraId="640E39A1" w14:textId="77777777" w:rsidR="00643B3C" w:rsidRDefault="00A93057">
      <w:pPr>
        <w:spacing w:after="0" w:line="240" w:lineRule="auto"/>
        <w:rPr>
          <w:rFonts w:ascii="AvenirNext LT Pro Cn" w:hAnsi="AvenirNext LT Pro Cn" w:cs="Times New Roman"/>
          <w:b/>
        </w:rPr>
      </w:pPr>
      <w:r>
        <w:rPr>
          <w:rFonts w:ascii="AvenirNext LT Pro Cn" w:hAnsi="AvenirNext LT Pro Cn"/>
          <w:b/>
        </w:rPr>
        <w:t>Reference</w:t>
      </w:r>
    </w:p>
    <w:p w14:paraId="10C5B972" w14:textId="77777777" w:rsidR="00643B3C" w:rsidRDefault="00643B3C">
      <w:pPr>
        <w:pStyle w:val="NormalWeb"/>
        <w:spacing w:before="0" w:beforeAutospacing="0" w:after="0" w:afterAutospacing="0"/>
        <w:rPr>
          <w:rFonts w:ascii="AvenirNext LT Pro Cn" w:hAnsi="AvenirNext LT Pro Cn" w:cs="Arial"/>
          <w:color w:val="auto"/>
          <w:sz w:val="18"/>
          <w:szCs w:val="18"/>
        </w:rPr>
      </w:pPr>
    </w:p>
    <w:p w14:paraId="0C6809BB" w14:textId="77777777" w:rsidR="00643B3C" w:rsidRDefault="00A93057">
      <w:pPr>
        <w:spacing w:after="40" w:line="240" w:lineRule="auto"/>
        <w:rPr>
          <w:rFonts w:ascii="AvenirNext LT Pro Cn" w:hAnsi="AvenirNext LT Pro Cn" w:cstheme="minorHAnsi"/>
        </w:rPr>
      </w:pPr>
      <w:r>
        <w:rPr>
          <w:rFonts w:ascii="AvenirNext LT Pro Cn" w:hAnsi="AvenirNext LT Pro Cn"/>
        </w:rPr>
        <w:t xml:space="preserve">Jan A., Bayle P., Mohellibi N. et al. (2025). A consortium of seven commensal bacteria promotes gut microbiota recovery and strengthens ecological barrier against vancomycin-resistant enterococci. </w:t>
      </w:r>
      <w:r>
        <w:rPr>
          <w:rFonts w:ascii="AvenirNext LT Pro Cn" w:hAnsi="AvenirNext LT Pro Cn"/>
          <w:i/>
        </w:rPr>
        <w:t xml:space="preserve">Microbiome, </w:t>
      </w:r>
      <w:r>
        <w:rPr>
          <w:rFonts w:ascii="AvenirNext LT Pro Cn" w:hAnsi="AvenirNext LT Pro Cn"/>
        </w:rPr>
        <w:t xml:space="preserve">DOI: </w:t>
      </w:r>
      <w:hyperlink r:id="rId8" w:history="1">
        <w:r>
          <w:rPr>
            <w:rStyle w:val="Lienhypertexte"/>
            <w:rFonts w:ascii="AvenirNext LT Pro Cn" w:hAnsi="AvenirNext LT Pro Cn"/>
          </w:rPr>
          <w:t>https://doi.org/10.1186/s40168-025-02127-5</w:t>
        </w:r>
      </w:hyperlink>
      <w:r>
        <w:rPr>
          <w:rFonts w:ascii="AvenirNext LT Pro Cn" w:hAnsi="AvenirNext LT Pro Cn"/>
        </w:rPr>
        <w:t xml:space="preserve"> </w:t>
      </w:r>
    </w:p>
    <w:p w14:paraId="0E4A1112" w14:textId="77777777" w:rsidR="00643B3C" w:rsidRDefault="00643B3C">
      <w:pPr>
        <w:spacing w:after="40" w:line="240" w:lineRule="auto"/>
        <w:rPr>
          <w:rFonts w:ascii="AvenirNext LT Pro Cn" w:hAnsi="AvenirNext LT Pro Cn" w:cs="Arial"/>
          <w:b/>
          <w:bCs/>
          <w:sz w:val="18"/>
          <w:szCs w:val="18"/>
        </w:rPr>
      </w:pPr>
    </w:p>
    <w:p w14:paraId="4A7D939D" w14:textId="77777777" w:rsidR="00643B3C" w:rsidRDefault="00A93057">
      <w:pPr>
        <w:spacing w:after="40" w:line="240" w:lineRule="auto"/>
        <w:rPr>
          <w:rFonts w:ascii="AvenirNext LT Pro Cn" w:hAnsi="AvenirNext LT Pro Cn" w:cstheme="minorHAnsi"/>
          <w:b/>
        </w:rPr>
      </w:pPr>
      <w:r>
        <w:rPr>
          <w:rFonts w:ascii="AvenirNext LT Pro Cn" w:hAnsi="AvenirNext LT Pro Cn"/>
          <w:b/>
        </w:rPr>
        <w:t xml:space="preserve">Contact: </w:t>
      </w:r>
    </w:p>
    <w:p w14:paraId="4E94D117" w14:textId="77777777" w:rsidR="00643B3C" w:rsidRDefault="00A93057">
      <w:pPr>
        <w:spacing w:after="40" w:line="240" w:lineRule="auto"/>
        <w:rPr>
          <w:rFonts w:ascii="AvenirNext LT Pro Cn" w:hAnsi="AvenirNext LT Pro Cn" w:cstheme="minorHAnsi"/>
        </w:rPr>
      </w:pPr>
      <w:r>
        <w:rPr>
          <w:rFonts w:ascii="AvenirNext LT Pro Cn" w:hAnsi="AvenirNext LT Pro Cn"/>
        </w:rPr>
        <w:t xml:space="preserve">Lionel Rigottier-Gois – </w:t>
      </w:r>
      <w:hyperlink r:id="rId9" w:tooltip="mailto:lionel.rigottier-gois@inrae.fr" w:history="1">
        <w:r>
          <w:rPr>
            <w:rStyle w:val="Lienhypertexte"/>
            <w:rFonts w:ascii="AvenirNext LT Pro Cn" w:hAnsi="AvenirNext LT Pro Cn"/>
          </w:rPr>
          <w:t>lionel.rigottier-gois@inrae.fr</w:t>
        </w:r>
      </w:hyperlink>
      <w:r>
        <w:t xml:space="preserve"> </w:t>
      </w:r>
    </w:p>
    <w:p w14:paraId="3E263E24" w14:textId="77777777" w:rsidR="00643B3C" w:rsidRDefault="00A93057">
      <w:pPr>
        <w:spacing w:after="40" w:line="240" w:lineRule="auto"/>
        <w:rPr>
          <w:rFonts w:ascii="AvenirNext LT Pro Cn" w:hAnsi="AvenirNext LT Pro Cn" w:cstheme="minorHAnsi"/>
        </w:rPr>
      </w:pPr>
      <w:r>
        <w:rPr>
          <w:rFonts w:ascii="AvenirNext LT Pro Cn" w:hAnsi="AvenirNext LT Pro Cn"/>
        </w:rPr>
        <w:t>Microbiology of Food for Health Joint Research Unit</w:t>
      </w:r>
    </w:p>
    <w:p w14:paraId="5C2ABC4D" w14:textId="77777777" w:rsidR="00643B3C" w:rsidRDefault="00643B3C">
      <w:pPr>
        <w:spacing w:after="40" w:line="240" w:lineRule="auto"/>
        <w:rPr>
          <w:rStyle w:val="structresult"/>
          <w:rFonts w:ascii="AvenirNext LT Pro Cn" w:hAnsi="AvenirNext LT Pro Cn" w:cs="Arial"/>
          <w:sz w:val="18"/>
          <w:szCs w:val="18"/>
        </w:rPr>
      </w:pPr>
    </w:p>
    <w:p w14:paraId="6E86ABEA" w14:textId="77777777" w:rsidR="00643B3C" w:rsidRDefault="00643B3C">
      <w:pPr>
        <w:spacing w:after="40" w:line="240" w:lineRule="auto"/>
        <w:rPr>
          <w:rStyle w:val="structresult"/>
          <w:rFonts w:ascii="AvenirNext LT Pro Cn" w:hAnsi="AvenirNext LT Pro Cn" w:cs="Arial"/>
          <w:sz w:val="18"/>
          <w:szCs w:val="18"/>
        </w:rPr>
      </w:pPr>
    </w:p>
    <w:p w14:paraId="3F7E16F6" w14:textId="77777777" w:rsidR="00643B3C" w:rsidRDefault="00A93057">
      <w:pPr>
        <w:spacing w:after="40" w:line="240" w:lineRule="auto"/>
        <w:rPr>
          <w:rFonts w:ascii="AvenirNext LT Pro Cn" w:hAnsi="AvenirNext LT Pro Cn" w:cstheme="minorHAnsi"/>
          <w:b/>
        </w:rPr>
      </w:pPr>
      <w:r>
        <w:rPr>
          <w:rFonts w:ascii="AvenirNext LT Pro Cn" w:hAnsi="AvenirNext LT Pro Cn"/>
          <w:b/>
        </w:rPr>
        <w:t>Press contact:</w:t>
      </w:r>
    </w:p>
    <w:p w14:paraId="6343A505" w14:textId="24014634" w:rsidR="00643B3C" w:rsidRDefault="00A93057">
      <w:pPr>
        <w:spacing w:after="40" w:line="240" w:lineRule="auto"/>
        <w:rPr>
          <w:rFonts w:ascii="AvenirNext LT Pro Cn" w:hAnsi="AvenirNext LT Pro Cn" w:cstheme="minorHAnsi"/>
        </w:rPr>
      </w:pPr>
      <w:r>
        <w:rPr>
          <w:rFonts w:ascii="AvenirNext LT Pro Cn" w:hAnsi="AvenirNext LT Pro Cn"/>
        </w:rPr>
        <w:t xml:space="preserve">INRAE Media </w:t>
      </w:r>
      <w:r w:rsidR="00124F52">
        <w:rPr>
          <w:rFonts w:ascii="AvenirNext LT Pro Cn" w:hAnsi="AvenirNext LT Pro Cn"/>
        </w:rPr>
        <w:t>Relations</w:t>
      </w:r>
      <w:bookmarkStart w:id="0" w:name="_GoBack"/>
      <w:bookmarkEnd w:id="0"/>
      <w:r>
        <w:rPr>
          <w:rFonts w:ascii="AvenirNext LT Pro Cn" w:hAnsi="AvenirNext LT Pro Cn"/>
        </w:rPr>
        <w:t xml:space="preserve">: </w:t>
      </w:r>
      <w:r w:rsidR="00790A61">
        <w:rPr>
          <w:rFonts w:ascii="AvenirNext LT Pro Cn" w:hAnsi="AvenirNext LT Pro Cn"/>
        </w:rPr>
        <w:t xml:space="preserve">+33 </w:t>
      </w:r>
      <w:r>
        <w:rPr>
          <w:rFonts w:ascii="AvenirNext LT Pro Cn" w:hAnsi="AvenirNext LT Pro Cn"/>
        </w:rPr>
        <w:t xml:space="preserve">1 42 75 91 86 – </w:t>
      </w:r>
      <w:hyperlink r:id="rId10" w:tooltip="mailto:presse@inrae.fr" w:history="1">
        <w:r>
          <w:rPr>
            <w:rFonts w:ascii="AvenirNext LT Pro Cn" w:hAnsi="AvenirNext LT Pro Cn"/>
          </w:rPr>
          <w:t>presse@inrae.fr</w:t>
        </w:r>
      </w:hyperlink>
      <w:r>
        <w:rPr>
          <w:rFonts w:ascii="AvenirNext LT Pro Cn" w:hAnsi="AvenirNext LT Pro Cn"/>
        </w:rPr>
        <w:t xml:space="preserve">  </w:t>
      </w:r>
    </w:p>
    <w:p w14:paraId="351E9FDC" w14:textId="77777777" w:rsidR="00643B3C" w:rsidRDefault="00A93057">
      <w:pPr>
        <w:spacing w:after="40" w:line="240" w:lineRule="auto"/>
        <w:rPr>
          <w:rFonts w:ascii="AvenirNext LT Pro Cn" w:hAnsi="AvenirNext LT Pro Cn" w:cs="Arial"/>
          <w:sz w:val="18"/>
          <w:szCs w:val="18"/>
        </w:rPr>
      </w:pPr>
      <w:r>
        <w:rPr>
          <w:rFonts w:ascii="AvenirNext LT Pro Cn" w:hAnsi="AvenirNext LT Pro Cn"/>
          <w:sz w:val="18"/>
        </w:rPr>
        <w:t>__________________________________________________________________________________</w:t>
      </w:r>
    </w:p>
    <w:p w14:paraId="72E79C1A" w14:textId="77777777" w:rsidR="00643B3C" w:rsidRDefault="00643B3C">
      <w:pPr>
        <w:spacing w:after="40" w:line="240" w:lineRule="auto"/>
        <w:rPr>
          <w:rFonts w:ascii="AvenirNext LT Pro Cn" w:hAnsi="AvenirNext LT Pro Cn" w:cstheme="minorHAnsi"/>
        </w:rPr>
      </w:pPr>
    </w:p>
    <w:p w14:paraId="3A5C81D7" w14:textId="77777777" w:rsidR="00643B3C" w:rsidRDefault="00643B3C">
      <w:pPr>
        <w:spacing w:after="40" w:line="240" w:lineRule="auto"/>
        <w:rPr>
          <w:rFonts w:ascii="AvenirNext LT Pro Cn" w:hAnsi="AvenirNext LT Pro Cn" w:cs="Arial"/>
          <w:sz w:val="18"/>
          <w:szCs w:val="18"/>
        </w:rPr>
      </w:pPr>
    </w:p>
    <w:sectPr w:rsidR="00643B3C">
      <w:footerReference w:type="default" r:id="rId11"/>
      <w:headerReference w:type="first" r:id="rId12"/>
      <w:pgSz w:w="11906" w:h="16838"/>
      <w:pgMar w:top="1417" w:right="1417" w:bottom="1417" w:left="1417"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E7FD4" w14:textId="77777777" w:rsidR="004444C4" w:rsidRDefault="004444C4">
      <w:pPr>
        <w:spacing w:after="0" w:line="240" w:lineRule="auto"/>
      </w:pPr>
      <w:r>
        <w:separator/>
      </w:r>
    </w:p>
  </w:endnote>
  <w:endnote w:type="continuationSeparator" w:id="0">
    <w:p w14:paraId="1F2F4917" w14:textId="77777777" w:rsidR="004444C4" w:rsidRDefault="0044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Noto Sans">
    <w:charset w:val="00"/>
    <w:family w:val="swiss"/>
    <w:pitch w:val="variable"/>
    <w:sig w:usb0="E00082FF" w:usb1="400078FF" w:usb2="00000021" w:usb3="00000000" w:csb0="0000019F" w:csb1="00000000"/>
  </w:font>
  <w:font w:name="AvenirNext LT Pro MediumCn">
    <w:panose1 w:val="020B0606020202020204"/>
    <w:charset w:val="00"/>
    <w:family w:val="swiss"/>
    <w:notTrueType/>
    <w:pitch w:val="variable"/>
    <w:sig w:usb0="800000AF" w:usb1="5000204A" w:usb2="00000000" w:usb3="00000000" w:csb0="00000093" w:csb1="00000000"/>
  </w:font>
  <w:font w:name="AvenirNext LT Pro Cn">
    <w:panose1 w:val="020B0506020202020204"/>
    <w:charset w:val="00"/>
    <w:family w:val="swiss"/>
    <w:notTrueType/>
    <w:pitch w:val="variable"/>
    <w:sig w:usb0="800000A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E86C4" w14:textId="77777777" w:rsidR="00643B3C" w:rsidRDefault="00643B3C">
    <w:pPr>
      <w:spacing w:after="40" w:line="240" w:lineRule="auto"/>
      <w:rPr>
        <w:rFonts w:ascii="Arial" w:hAnsi="Arial" w:cs="Arial"/>
        <w:sz w:val="18"/>
        <w:szCs w:val="18"/>
      </w:rPr>
    </w:pPr>
  </w:p>
  <w:p w14:paraId="0A54C8ED" w14:textId="77777777" w:rsidR="00643B3C" w:rsidRDefault="00643B3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4E71C5" w14:textId="77777777" w:rsidR="004444C4" w:rsidRDefault="004444C4">
      <w:pPr>
        <w:spacing w:after="0" w:line="240" w:lineRule="auto"/>
      </w:pPr>
      <w:r>
        <w:separator/>
      </w:r>
    </w:p>
  </w:footnote>
  <w:footnote w:type="continuationSeparator" w:id="0">
    <w:p w14:paraId="76BB0B23" w14:textId="77777777" w:rsidR="004444C4" w:rsidRDefault="004444C4">
      <w:pPr>
        <w:spacing w:after="0" w:line="240" w:lineRule="auto"/>
      </w:pPr>
      <w:r>
        <w:continuationSeparator/>
      </w:r>
    </w:p>
  </w:footnote>
  <w:footnote w:id="1">
    <w:p w14:paraId="488A0D32" w14:textId="77777777" w:rsidR="00643B3C" w:rsidRDefault="00A93057">
      <w:pPr>
        <w:pStyle w:val="Notedebasdepage"/>
        <w:rPr>
          <w:rFonts w:ascii="AvenirNext LT Pro Cn" w:hAnsi="AvenirNext LT Pro Cn"/>
        </w:rPr>
      </w:pPr>
      <w:r>
        <w:rPr>
          <w:rStyle w:val="Appelnotedebasdep"/>
          <w:rFonts w:ascii="AvenirNext LT Pro Cn" w:hAnsi="AvenirNext LT Pro Cn"/>
        </w:rPr>
        <w:footnoteRef/>
      </w:r>
      <w:r>
        <w:rPr>
          <w:rFonts w:ascii="AvenirNext LT Pro Cn" w:hAnsi="AvenirNext LT Pro Cn"/>
        </w:rPr>
        <w:t xml:space="preserve"> Vancomycin is used to treat certain severe infections caused by staphylococci or streptococci, or in patients allergic to beta-lactam antibiotics (penicillins or cephalosporins).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3CB78" w14:textId="77777777" w:rsidR="00643B3C" w:rsidRDefault="00A93057">
    <w:pPr>
      <w:jc w:val="right"/>
      <w:rPr>
        <w:rFonts w:ascii="AvenirNext LT Pro Cn" w:hAnsi="AvenirNext LT Pro Cn" w:cstheme="minorHAnsi"/>
        <w:sz w:val="20"/>
        <w:szCs w:val="20"/>
      </w:rPr>
    </w:pPr>
    <w:r>
      <w:rPr>
        <w:rFonts w:ascii="AvenirNext LT Pro Cn" w:hAnsi="AvenirNext LT Pro Cn"/>
        <w:noProof/>
      </w:rPr>
      <mc:AlternateContent>
        <mc:Choice Requires="wpg">
          <w:drawing>
            <wp:anchor distT="0" distB="0" distL="114300" distR="114300" simplePos="0" relativeHeight="251658240" behindDoc="0" locked="0" layoutInCell="1" allowOverlap="1" wp14:anchorId="56B6D297" wp14:editId="3EB9C286">
              <wp:simplePos x="0" y="0"/>
              <wp:positionH relativeFrom="margin">
                <wp:align>left</wp:align>
              </wp:positionH>
              <wp:positionV relativeFrom="paragraph">
                <wp:posOffset>8255</wp:posOffset>
              </wp:positionV>
              <wp:extent cx="837638" cy="825500"/>
              <wp:effectExtent l="0" t="0" r="635" b="0"/>
              <wp:wrapThrough wrapText="bothSides">
                <wp:wrapPolygon edited="1">
                  <wp:start x="0" y="0"/>
                  <wp:lineTo x="0" y="20935"/>
                  <wp:lineTo x="21125" y="20935"/>
                  <wp:lineTo x="21125"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ublique_Francaise_[BD].jpg"/>
                      <pic:cNvPicPr>
                        <a:picLocks noChangeAspect="1"/>
                      </pic:cNvPicPr>
                    </pic:nvPicPr>
                    <pic:blipFill>
                      <a:blip r:embed="rId1"/>
                      <a:srcRect l="8339"/>
                      <a:stretch/>
                    </pic:blipFill>
                    <pic:spPr bwMode="auto">
                      <a:xfrm>
                        <a:off x="0" y="0"/>
                        <a:ext cx="837638" cy="825500"/>
                      </a:xfrm>
                      <a:prstGeom prst="rect">
                        <a:avLst/>
                      </a:prstGeom>
                      <a:ln>
                        <a:noFill/>
                      </a:ln>
                    </pic:spPr>
                  </pic:pic>
                </a:graphicData>
              </a:graphic>
            </wp:anchor>
          </w:drawing>
        </mc:Choice>
        <mc:Fallback xmlns:w16du="http://schemas.microsoft.com/office/word/2023/wordml/word16du" xmlns:w16sdtfl="http://schemas.microsoft.com/office/word/2024/wordml/sdtformatlo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0" o:spid="_x0000_s0" type="#_x0000_t75" style="position:absolute;z-index:251658240;o:allowoverlap:true;o:allowincell:true;mso-position-horizontal-relative:margin;mso-position-horizontal:left;mso-position-vertical-relative:text;margin-top:0.65pt;mso-position-vertical:absolute;width:65.96pt;height:65.00pt;mso-wrap-distance-left:9.00pt;mso-wrap-distance-top:0.00pt;mso-wrap-distance-right:9.00pt;mso-wrap-distance-bottom:0.00pt;z-index:1;" wrapcoords="0 0 0 96921 97801 96921 97801 0 0 0" stroked="f">
              <w10:wrap type="through"/>
              <v:imagedata r:id="rId2" o:title="" croptop="0f" cropleft="5465f" cropbottom="0f" cropright="0f"/>
              <o:lock v:ext="edit" rotation="t"/>
            </v:shape>
          </w:pict>
        </mc:Fallback>
      </mc:AlternateContent>
    </w:r>
  </w:p>
  <w:p w14:paraId="22916561" w14:textId="77777777" w:rsidR="00643B3C" w:rsidRDefault="00A93057">
    <w:pPr>
      <w:jc w:val="right"/>
      <w:rPr>
        <w:rFonts w:ascii="AvenirNext LT Pro Cn" w:hAnsi="AvenirNext LT Pro Cn" w:cstheme="minorHAnsi"/>
        <w:sz w:val="20"/>
        <w:szCs w:val="20"/>
      </w:rPr>
    </w:pPr>
    <w:r>
      <w:rPr>
        <w:rFonts w:ascii="AvenirNext LT Pro Cn" w:hAnsi="AvenirNext LT Pro Cn"/>
        <w:noProof/>
      </w:rPr>
      <mc:AlternateContent>
        <mc:Choice Requires="wpg">
          <w:drawing>
            <wp:anchor distT="0" distB="0" distL="114300" distR="114300" simplePos="0" relativeHeight="251659264" behindDoc="0" locked="0" layoutInCell="1" allowOverlap="1" wp14:anchorId="77685615" wp14:editId="78BB67CD">
              <wp:simplePos x="0" y="0"/>
              <wp:positionH relativeFrom="margin">
                <wp:align>right</wp:align>
              </wp:positionH>
              <wp:positionV relativeFrom="paragraph">
                <wp:posOffset>13970</wp:posOffset>
              </wp:positionV>
              <wp:extent cx="1358900" cy="353060"/>
              <wp:effectExtent l="0" t="0" r="0" b="8890"/>
              <wp:wrapThrough wrapText="bothSides">
                <wp:wrapPolygon edited="1">
                  <wp:start x="0" y="0"/>
                  <wp:lineTo x="0" y="20978"/>
                  <wp:lineTo x="21196" y="20978"/>
                  <wp:lineTo x="2119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NRAE_Quadri-[BD].jpg"/>
                      <pic:cNvPicPr>
                        <a:picLocks noChangeAspect="1"/>
                      </pic:cNvPicPr>
                    </pic:nvPicPr>
                    <pic:blipFill>
                      <a:blip r:embed="rId3"/>
                      <a:stretch/>
                    </pic:blipFill>
                    <pic:spPr bwMode="auto">
                      <a:xfrm>
                        <a:off x="0" y="0"/>
                        <a:ext cx="1358900" cy="353060"/>
                      </a:xfrm>
                      <a:prstGeom prst="rect">
                        <a:avLst/>
                      </a:prstGeom>
                    </pic:spPr>
                  </pic:pic>
                </a:graphicData>
              </a:graphic>
            </wp:anchor>
          </w:drawing>
        </mc:Choice>
        <mc:Fallback xmlns:w16du="http://schemas.microsoft.com/office/word/2023/wordml/word16du" xmlns:w16sdtfl="http://schemas.microsoft.com/office/word/2024/wordml/sdtformatlock" xmlns:a="http://schemas.openxmlformats.org/drawingml/2006/main" xmlns:w16sdtdh="http://schemas.microsoft.com/office/word/2020/wordml/sdtdatahash" xmlns:w16="http://schemas.microsoft.com/office/word/2018/wordml" xmlns:w16cex="http://schemas.microsoft.com/office/word/2018/wordml/cex" xmlns:oel="http://schemas.microsoft.com/office/2019/extlst">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 o:spid="_x0000_s1" type="#_x0000_t75" style="position:absolute;z-index:251659264;o:allowoverlap:true;o:allowincell:true;mso-position-horizontal-relative:margin;mso-position-horizontal:right;mso-position-vertical-relative:text;margin-top:1.10pt;mso-position-vertical:absolute;width:107.00pt;height:27.80pt;mso-wrap-distance-left:9.00pt;mso-wrap-distance-top:0.00pt;mso-wrap-distance-right:9.00pt;mso-wrap-distance-bottom:0.00pt;z-index:1;" wrapcoords="0 0 0 97120 98130 97120 98130 0 0 0" stroked="false">
              <w10:wrap type="through"/>
              <v:imagedata r:id="rId4" o:title=""/>
              <o:lock v:ext="edit" rotation="t"/>
            </v:shape>
          </w:pict>
        </mc:Fallback>
      </mc:AlternateContent>
    </w:r>
  </w:p>
  <w:p w14:paraId="3EEB0937" w14:textId="77777777" w:rsidR="00643B3C" w:rsidRDefault="00643B3C">
    <w:pPr>
      <w:rPr>
        <w:rFonts w:ascii="AvenirNext LT Pro Cn" w:hAnsi="AvenirNext LT Pro C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22DC7"/>
    <w:multiLevelType w:val="multilevel"/>
    <w:tmpl w:val="B60432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6390522"/>
    <w:multiLevelType w:val="multilevel"/>
    <w:tmpl w:val="1D1635A0"/>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39411FB1"/>
    <w:multiLevelType w:val="multilevel"/>
    <w:tmpl w:val="E708CD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8885CBA"/>
    <w:multiLevelType w:val="multilevel"/>
    <w:tmpl w:val="229C325C"/>
    <w:lvl w:ilvl="0">
      <w:numFmt w:val="bullet"/>
      <w:lvlText w:val="-"/>
      <w:lvlJc w:val="left"/>
      <w:pPr>
        <w:ind w:left="720" w:hanging="360"/>
      </w:pPr>
      <w:rPr>
        <w:rFonts w:ascii="Calibri" w:eastAsia="Times New Roman"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45052B2"/>
    <w:multiLevelType w:val="multilevel"/>
    <w:tmpl w:val="A00803EE"/>
    <w:lvl w:ilvl="0">
      <w:numFmt w:val="bullet"/>
      <w:lvlText w:val="-"/>
      <w:lvlJc w:val="left"/>
      <w:pPr>
        <w:ind w:left="720" w:hanging="360"/>
      </w:pPr>
      <w:rPr>
        <w:rFonts w:ascii="Calibri" w:eastAsia="Times New Roman" w:hAnsi="Calibri"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B3C"/>
    <w:rsid w:val="00097E54"/>
    <w:rsid w:val="000A1349"/>
    <w:rsid w:val="00100BBC"/>
    <w:rsid w:val="00124F52"/>
    <w:rsid w:val="00157DFB"/>
    <w:rsid w:val="001E4476"/>
    <w:rsid w:val="002D293F"/>
    <w:rsid w:val="002D2FB8"/>
    <w:rsid w:val="002F6BE3"/>
    <w:rsid w:val="003B05C4"/>
    <w:rsid w:val="003B4211"/>
    <w:rsid w:val="00430EF9"/>
    <w:rsid w:val="004444C4"/>
    <w:rsid w:val="00490EBE"/>
    <w:rsid w:val="004C20BC"/>
    <w:rsid w:val="004E18D5"/>
    <w:rsid w:val="004F2447"/>
    <w:rsid w:val="00504C6A"/>
    <w:rsid w:val="00582B6E"/>
    <w:rsid w:val="00643B3C"/>
    <w:rsid w:val="006540FD"/>
    <w:rsid w:val="00664CA0"/>
    <w:rsid w:val="00790A61"/>
    <w:rsid w:val="007A5D2D"/>
    <w:rsid w:val="007B0FCF"/>
    <w:rsid w:val="00805FBF"/>
    <w:rsid w:val="00944AF9"/>
    <w:rsid w:val="00973346"/>
    <w:rsid w:val="00A45053"/>
    <w:rsid w:val="00A717DD"/>
    <w:rsid w:val="00A90FC5"/>
    <w:rsid w:val="00A93057"/>
    <w:rsid w:val="00AD7927"/>
    <w:rsid w:val="00AE7297"/>
    <w:rsid w:val="00B06AE3"/>
    <w:rsid w:val="00B45C34"/>
    <w:rsid w:val="00BA0E92"/>
    <w:rsid w:val="00BF2365"/>
    <w:rsid w:val="00C13C7B"/>
    <w:rsid w:val="00C42608"/>
    <w:rsid w:val="00D70BAB"/>
    <w:rsid w:val="00D9429C"/>
    <w:rsid w:val="00E0219E"/>
    <w:rsid w:val="00EA028C"/>
    <w:rsid w:val="00ED2304"/>
    <w:rsid w:val="00F3584B"/>
    <w:rsid w:val="00F36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E8331"/>
  <w15:docId w15:val="{69FB055D-174F-4B18-A494-35196DD0D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pPr>
      <w:spacing w:before="100" w:beforeAutospacing="1" w:after="100" w:afterAutospacing="1" w:line="240" w:lineRule="auto"/>
      <w:outlineLvl w:val="0"/>
    </w:pPr>
    <w:rPr>
      <w:rFonts w:ascii="Times New Roman" w:eastAsia="Times New Roman" w:hAnsi="Times New Roman" w:cs="Times New Roman"/>
      <w:b/>
      <w:bCs/>
      <w:sz w:val="48"/>
      <w:szCs w:val="48"/>
      <w:lang w:eastAsia="fr-FR"/>
    </w:rPr>
  </w:style>
  <w:style w:type="paragraph" w:styleId="Titre2">
    <w:name w:val="heading 2"/>
    <w:basedOn w:val="Normal"/>
    <w:next w:val="Normal"/>
    <w:link w:val="Titre2C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E74B5"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E74B5"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E74B5"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GridLight1">
    <w:name w:val="Table Grid Light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1">
    <w:name w:val="Grid Table 1 Light - Accent 1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1">
    <w:name w:val="Grid Table 1 Light - Accent 31"/>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1">
    <w:name w:val="Grid Table 1 Light - Accent 41"/>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1">
    <w:name w:val="Grid Table 1 Light - Accent 51"/>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1">
    <w:name w:val="Grid Table 1 Light - Accent 61"/>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1">
    <w:name w:val="Grid Table 2 - Accent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1">
    <w:name w:val="Grid Table 2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1">
    <w:name w:val="Grid Table 2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1">
    <w:name w:val="Grid Table 2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1">
    <w:name w:val="Grid Table 2 - Accent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1">
    <w:name w:val="Grid Table 2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1">
    <w:name w:val="Grid Table 3 - Accent 11"/>
    <w:basedOn w:val="Tableau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1">
    <w:name w:val="Grid Table 3 - Accent 21"/>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1">
    <w:name w:val="Grid Table 3 - Accent 31"/>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1">
    <w:name w:val="Grid Table 3 - Accent 41"/>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1">
    <w:name w:val="Grid Table 3 - Accent 51"/>
    <w:basedOn w:val="Tableau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1">
    <w:name w:val="Grid Table 3 - Accent 61"/>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1">
    <w:name w:val="Grid Table 4 - Accent 11"/>
    <w:basedOn w:val="Tableau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1">
    <w:name w:val="Grid Table 4 - Accent 21"/>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1">
    <w:name w:val="Grid Table 4 - Accent 31"/>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1">
    <w:name w:val="Grid Table 4 - Accent 41"/>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1">
    <w:name w:val="Grid Table 4 - Accent 51"/>
    <w:basedOn w:val="Tableau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1">
    <w:name w:val="Grid Table 4 - Accent 61"/>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1">
    <w:name w:val="Grid Table 5 Dark - Accent 2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1">
    <w:name w:val="Grid Table 5 Dark - Accent 3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1">
    <w:name w:val="Grid Table 5 Dark - Accent 5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1">
    <w:name w:val="Grid Table 5 Dark - Accent 6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au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au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au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au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1">
    <w:name w:val="List Table 1 Light - Accent 1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1">
    <w:name w:val="List Table 1 Light - Accent 2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1">
    <w:name w:val="List Table 1 Light - Accent 3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1">
    <w:name w:val="List Table 1 Light - Accent 4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1">
    <w:name w:val="List Table 1 Light - Accent 5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1">
    <w:name w:val="List Table 1 Light - Accent 6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1">
    <w:name w:val="List Table 2 - Accent 11"/>
    <w:basedOn w:val="Tableau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1">
    <w:name w:val="List Table 2 - Accent 21"/>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1">
    <w:name w:val="List Table 2 - Accent 31"/>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1">
    <w:name w:val="List Table 2 - Accent 41"/>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1">
    <w:name w:val="List Table 2 - Accent 51"/>
    <w:basedOn w:val="Tableau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1">
    <w:name w:val="List Table 2 - Accent 61"/>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1">
    <w:name w:val="List Table 3 - Accent 11"/>
    <w:basedOn w:val="Tableau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1">
    <w:name w:val="List Table 3 - Accent 21"/>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1">
    <w:name w:val="List Table 3 - Accent 31"/>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1">
    <w:name w:val="List Table 3 - Accent 41"/>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1">
    <w:name w:val="List Table 3 - Accent 51"/>
    <w:basedOn w:val="Tableau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1">
    <w:name w:val="List Table 3 - Accent 61"/>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1">
    <w:name w:val="List Table 4 - Accent 11"/>
    <w:basedOn w:val="Tableau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1">
    <w:name w:val="List Table 4 - Accent 21"/>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1">
    <w:name w:val="List Table 4 - Accent 31"/>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1">
    <w:name w:val="List Table 4 - Accent 41"/>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1">
    <w:name w:val="List Table 4 - Accent 51"/>
    <w:basedOn w:val="Tableau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1">
    <w:name w:val="List Table 4 - Accent 61"/>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1">
    <w:name w:val="List Table 5 Dark - Accent 11"/>
    <w:basedOn w:val="Tableau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1">
    <w:name w:val="List Table 5 Dark - Accent 21"/>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1">
    <w:name w:val="List Table 5 Dark - Accent 31"/>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1">
    <w:name w:val="List Table 5 Dark - Accent 41"/>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1">
    <w:name w:val="List Table 5 Dark - Accent 51"/>
    <w:basedOn w:val="Tableau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1">
    <w:name w:val="List Table 5 Dark - Accent 61"/>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au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au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au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au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eastAsia="fr-FR"/>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eastAsia="fr-FR"/>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Heading1Char">
    <w:name w:val="Heading 1 Char"/>
    <w:basedOn w:val="Policepardfaut"/>
    <w:uiPriority w:val="9"/>
    <w:rPr>
      <w:rFonts w:ascii="Arial" w:eastAsia="Arial" w:hAnsi="Arial" w:cs="Arial"/>
      <w:color w:val="2E74B5" w:themeColor="accent1" w:themeShade="BF"/>
      <w:sz w:val="40"/>
      <w:szCs w:val="40"/>
    </w:rPr>
  </w:style>
  <w:style w:type="character" w:customStyle="1" w:styleId="Heading2Char">
    <w:name w:val="Heading 2 Char"/>
    <w:basedOn w:val="Policepardfaut"/>
    <w:uiPriority w:val="9"/>
    <w:rPr>
      <w:rFonts w:ascii="Arial" w:eastAsia="Arial" w:hAnsi="Arial" w:cs="Arial"/>
      <w:color w:val="2E74B5"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E74B5"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E74B5" w:themeColor="accent1" w:themeShade="BF"/>
    </w:rPr>
  </w:style>
  <w:style w:type="character" w:customStyle="1" w:styleId="Titre5Car">
    <w:name w:val="Titre 5 Car"/>
    <w:basedOn w:val="Policepardfaut"/>
    <w:link w:val="Titre5"/>
    <w:uiPriority w:val="9"/>
    <w:rPr>
      <w:rFonts w:ascii="Arial" w:eastAsia="Arial" w:hAnsi="Arial" w:cs="Arial"/>
      <w:color w:val="2E74B5"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Accentuationintense">
    <w:name w:val="Intense Emphasis"/>
    <w:basedOn w:val="Policepardfaut"/>
    <w:uiPriority w:val="21"/>
    <w:qFormat/>
    <w:rPr>
      <w:i/>
      <w:iCs/>
      <w:color w:val="2E74B5" w:themeColor="accent1" w:themeShade="BF"/>
    </w:rPr>
  </w:style>
  <w:style w:type="paragraph" w:styleId="Citationintense">
    <w:name w:val="Intense Quote"/>
    <w:basedOn w:val="Normal"/>
    <w:next w:val="Normal"/>
    <w:link w:val="CitationintenseCar"/>
    <w:uiPriority w:val="30"/>
    <w:qFormat/>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Pr>
      <w:i/>
      <w:iCs/>
      <w:color w:val="2E74B5" w:themeColor="accent1" w:themeShade="BF"/>
    </w:rPr>
  </w:style>
  <w:style w:type="character" w:styleId="Rfrenceintense">
    <w:name w:val="Intense Reference"/>
    <w:basedOn w:val="Policepardfaut"/>
    <w:uiPriority w:val="32"/>
    <w:qFormat/>
    <w:rPr>
      <w:b/>
      <w:bCs/>
      <w:smallCaps/>
      <w:color w:val="2E74B5" w:themeColor="accent1" w:themeShade="BF"/>
      <w:spacing w:val="5"/>
    </w:rPr>
  </w:style>
  <w:style w:type="paragraph" w:styleId="Sansinterligne">
    <w:name w:val="No Spacing"/>
    <w:basedOn w:val="Normal"/>
    <w:uiPriority w:val="1"/>
    <w:qFormat/>
    <w:pPr>
      <w:spacing w:after="0" w:line="240" w:lineRule="auto"/>
    </w:pPr>
  </w:style>
  <w:style w:type="character" w:styleId="Accentuationlgre">
    <w:name w:val="Subtle Emphasis"/>
    <w:basedOn w:val="Policepardfaut"/>
    <w:uiPriority w:val="19"/>
    <w:qFormat/>
    <w:rPr>
      <w:i/>
      <w:iCs/>
      <w:color w:val="404040" w:themeColor="text1" w:themeTint="BF"/>
    </w:rPr>
  </w:style>
  <w:style w:type="character" w:styleId="Rfrencelgr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character" w:customStyle="1" w:styleId="FootnoteTextChar">
    <w:name w:val="Footnote Text Char"/>
    <w:basedOn w:val="Policepardfaut"/>
    <w:uiPriority w:val="99"/>
    <w:semiHidden/>
    <w:rPr>
      <w:sz w:val="20"/>
      <w:szCs w:val="20"/>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100"/>
    </w:pPr>
  </w:style>
  <w:style w:type="paragraph" w:styleId="TM2">
    <w:name w:val="toc 2"/>
    <w:basedOn w:val="Normal"/>
    <w:next w:val="Normal"/>
    <w:uiPriority w:val="39"/>
    <w:unhideWhenUsed/>
    <w:pPr>
      <w:spacing w:after="100"/>
      <w:ind w:left="220"/>
    </w:pPr>
  </w:style>
  <w:style w:type="paragraph" w:styleId="TM3">
    <w:name w:val="toc 3"/>
    <w:basedOn w:val="Normal"/>
    <w:next w:val="Normal"/>
    <w:uiPriority w:val="39"/>
    <w:unhideWhenUsed/>
    <w:pPr>
      <w:spacing w:after="100"/>
      <w:ind w:left="440"/>
    </w:pPr>
  </w:style>
  <w:style w:type="paragraph" w:styleId="TM4">
    <w:name w:val="toc 4"/>
    <w:basedOn w:val="Normal"/>
    <w:next w:val="Normal"/>
    <w:uiPriority w:val="39"/>
    <w:unhideWhenUsed/>
    <w:pPr>
      <w:spacing w:after="100"/>
      <w:ind w:left="660"/>
    </w:pPr>
  </w:style>
  <w:style w:type="paragraph" w:styleId="TM5">
    <w:name w:val="toc 5"/>
    <w:basedOn w:val="Normal"/>
    <w:next w:val="Normal"/>
    <w:uiPriority w:val="39"/>
    <w:unhideWhenUsed/>
    <w:pPr>
      <w:spacing w:after="100"/>
      <w:ind w:left="880"/>
    </w:pPr>
  </w:style>
  <w:style w:type="paragraph" w:styleId="TM6">
    <w:name w:val="toc 6"/>
    <w:basedOn w:val="Normal"/>
    <w:next w:val="Normal"/>
    <w:uiPriority w:val="39"/>
    <w:unhideWhenUsed/>
    <w:pPr>
      <w:spacing w:after="100"/>
      <w:ind w:left="1100"/>
    </w:pPr>
  </w:style>
  <w:style w:type="paragraph" w:styleId="TM7">
    <w:name w:val="toc 7"/>
    <w:basedOn w:val="Normal"/>
    <w:next w:val="Normal"/>
    <w:uiPriority w:val="39"/>
    <w:unhideWhenUsed/>
    <w:pPr>
      <w:spacing w:after="100"/>
      <w:ind w:left="1320"/>
    </w:pPr>
  </w:style>
  <w:style w:type="paragraph" w:styleId="TM8">
    <w:name w:val="toc 8"/>
    <w:basedOn w:val="Normal"/>
    <w:next w:val="Normal"/>
    <w:uiPriority w:val="39"/>
    <w:unhideWhenUsed/>
    <w:pPr>
      <w:spacing w:after="100"/>
      <w:ind w:left="1540"/>
    </w:pPr>
  </w:style>
  <w:style w:type="paragraph" w:styleId="TM9">
    <w:name w:val="toc 9"/>
    <w:basedOn w:val="Normal"/>
    <w:next w:val="Normal"/>
    <w:uiPriority w:val="39"/>
    <w:unhideWhenUsed/>
    <w:pPr>
      <w:spacing w:after="100"/>
      <w:ind w:left="1760"/>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En-tte">
    <w:name w:val="header"/>
    <w:basedOn w:val="Normal"/>
    <w:link w:val="En-tteCar"/>
    <w:semiHidden/>
    <w:pPr>
      <w:tabs>
        <w:tab w:val="center" w:pos="4819"/>
        <w:tab w:val="right" w:pos="9071"/>
      </w:tabs>
      <w:spacing w:before="240" w:after="0" w:line="240" w:lineRule="auto"/>
      <w:jc w:val="both"/>
    </w:pPr>
    <w:rPr>
      <w:rFonts w:ascii="Times New Roman" w:eastAsia="Times New Roman" w:hAnsi="Times New Roman" w:cs="Times New Roman"/>
      <w:sz w:val="20"/>
      <w:szCs w:val="20"/>
      <w:lang w:eastAsia="ar-SA"/>
    </w:rPr>
  </w:style>
  <w:style w:type="character" w:customStyle="1" w:styleId="En-tteCar">
    <w:name w:val="En-tête Car"/>
    <w:basedOn w:val="Policepardfaut"/>
    <w:link w:val="En-tte"/>
    <w:semiHidden/>
    <w:rPr>
      <w:rFonts w:ascii="Times New Roman" w:eastAsia="Times New Roman" w:hAnsi="Times New Roman" w:cs="Times New Roman"/>
      <w:sz w:val="20"/>
      <w:szCs w:val="20"/>
      <w:lang w:eastAsia="ar-SA"/>
    </w:rPr>
  </w:style>
  <w:style w:type="paragraph" w:styleId="Paragraphedeliste">
    <w:name w:val="List Paragraph"/>
    <w:basedOn w:val="Normal"/>
    <w:uiPriority w:val="34"/>
    <w:qFormat/>
    <w:pPr>
      <w:spacing w:after="0" w:line="240" w:lineRule="auto"/>
      <w:ind w:left="720"/>
    </w:pPr>
    <w:rPr>
      <w:rFonts w:ascii="Calibri" w:hAnsi="Calibri" w:cs="Calibri"/>
    </w:rPr>
  </w:style>
  <w:style w:type="character" w:styleId="Lienhypertexte">
    <w:name w:val="Hyperlink"/>
    <w:basedOn w:val="Policepardfau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pPr>
    <w:rPr>
      <w:rFonts w:ascii="Calibri" w:hAnsi="Calibri" w:cs="Calibri"/>
      <w:color w:val="000000"/>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character" w:customStyle="1" w:styleId="structresult">
    <w:name w:val="structresult"/>
    <w:basedOn w:val="Policepardfaut"/>
    <w:qFormat/>
  </w:style>
  <w:style w:type="character" w:customStyle="1" w:styleId="Policepardfaut2">
    <w:name w:val="Police par défaut2"/>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pacing w:after="0" w:line="240" w:lineRule="auto"/>
    </w:pPr>
    <w:rPr>
      <w:rFonts w:ascii="Verdana" w:eastAsia="SimSun" w:hAnsi="Verdana" w:cs="Mangal"/>
      <w:color w:val="00000A"/>
      <w:szCs w:val="24"/>
      <w:lang w:eastAsia="zh-CN" w:bidi="hi-IN"/>
    </w:rPr>
  </w:style>
  <w:style w:type="paragraph" w:customStyle="1" w:styleId="Contenudetableau">
    <w:name w:val="Contenu de tableau"/>
    <w:basedOn w:val="LO-Normal"/>
    <w:pPr>
      <w:suppressLineNumbers/>
    </w:pPr>
  </w:style>
  <w:style w:type="character" w:customStyle="1" w:styleId="object-hover">
    <w:name w:val="object-hover"/>
  </w:style>
  <w:style w:type="paragraph" w:styleId="Rvision">
    <w:name w:val="Revision"/>
    <w:hidden/>
    <w:uiPriority w:val="99"/>
    <w:semiHidden/>
    <w:pPr>
      <w:spacing w:after="0" w:line="240" w:lineRule="auto"/>
    </w:pPr>
  </w:style>
  <w:style w:type="character" w:customStyle="1" w:styleId="spancontent2">
    <w:name w:val="spancontent2"/>
    <w:basedOn w:val="Policepardfaut"/>
  </w:style>
  <w:style w:type="character" w:styleId="Lienhypertextesuivivisit">
    <w:name w:val="FollowedHyperlink"/>
    <w:basedOn w:val="Policepardfaut"/>
    <w:uiPriority w:val="99"/>
    <w:semiHidden/>
    <w:unhideWhenUsed/>
    <w:rPr>
      <w:color w:val="954F72" w:themeColor="followedHyperlink"/>
      <w:u w:val="single"/>
    </w:rPr>
  </w:style>
  <w:style w:type="character" w:customStyle="1" w:styleId="contextual-datacite1">
    <w:name w:val="contextual-data__cite1"/>
    <w:basedOn w:val="Policepardfaut"/>
    <w:rPr>
      <w:vanish/>
    </w:rPr>
  </w:style>
  <w:style w:type="character" w:customStyle="1" w:styleId="doi1">
    <w:name w:val="doi1"/>
    <w:basedOn w:val="Policepardfaut"/>
    <w:rPr>
      <w:rFonts w:ascii="Noto Sans" w:hAnsi="Noto Sans" w:hint="default"/>
      <w:b w:val="0"/>
      <w:bCs w:val="0"/>
      <w:caps/>
      <w:color w:val="888888"/>
      <w:spacing w:val="8"/>
      <w:sz w:val="17"/>
      <w:szCs w:val="17"/>
    </w:rPr>
  </w:style>
  <w:style w:type="character" w:styleId="Accentuation">
    <w:name w:val="Emphasis"/>
    <w:basedOn w:val="Policepardfaut"/>
    <w:uiPriority w:val="20"/>
    <w:qFormat/>
    <w:rPr>
      <w:i/>
      <w:iCs/>
    </w:rPr>
  </w:style>
  <w:style w:type="character" w:customStyle="1" w:styleId="highwire-cite-metadata-journal">
    <w:name w:val="highwire-cite-metadata-journal"/>
    <w:basedOn w:val="Policepardfaut"/>
  </w:style>
  <w:style w:type="character" w:customStyle="1" w:styleId="highwire-cite-metadata-pages">
    <w:name w:val="highwire-cite-metadata-pages"/>
    <w:basedOn w:val="Policepardfaut"/>
  </w:style>
  <w:style w:type="character" w:customStyle="1" w:styleId="highwire-cite-metadata-doi">
    <w:name w:val="highwire-cite-metadata-doi"/>
    <w:basedOn w:val="Policepardfaut"/>
  </w:style>
  <w:style w:type="character" w:customStyle="1" w:styleId="doilabel">
    <w:name w:val="doi_label"/>
    <w:basedOn w:val="Policepardfaut"/>
  </w:style>
  <w:style w:type="paragraph" w:customStyle="1" w:styleId="Auteurducourrier">
    <w:name w:val="Auteur du courrier"/>
    <w:basedOn w:val="Normal"/>
    <w:link w:val="AuteurducourrierCar"/>
    <w:qFormat/>
    <w:pPr>
      <w:spacing w:line="276" w:lineRule="auto"/>
    </w:pPr>
    <w:rPr>
      <w:rFonts w:ascii="AvenirNext LT Pro MediumCn" w:hAnsi="AvenirNext LT Pro MediumCn" w:cstheme="minorHAnsi"/>
      <w:sz w:val="26"/>
      <w:szCs w:val="26"/>
    </w:rPr>
  </w:style>
  <w:style w:type="character" w:customStyle="1" w:styleId="AuteurducourrierCar">
    <w:name w:val="Auteur du courrier Car"/>
    <w:basedOn w:val="Policepardfaut"/>
    <w:link w:val="Auteurducourrier"/>
    <w:rPr>
      <w:rFonts w:ascii="AvenirNext LT Pro MediumCn" w:hAnsi="AvenirNext LT Pro MediumCn" w:cstheme="minorHAnsi"/>
      <w:sz w:val="26"/>
      <w:szCs w:val="26"/>
    </w:rPr>
  </w:style>
  <w:style w:type="paragraph" w:customStyle="1" w:styleId="Textecourant">
    <w:name w:val="Texte courant"/>
    <w:basedOn w:val="Normal"/>
    <w:link w:val="TextecourantCar"/>
    <w:qFormat/>
    <w:pPr>
      <w:spacing w:line="276" w:lineRule="auto"/>
    </w:pPr>
    <w:rPr>
      <w:rFonts w:ascii="AvenirNext LT Pro Cn" w:hAnsi="AvenirNext LT Pro Cn" w:cstheme="minorHAnsi"/>
      <w:sz w:val="20"/>
      <w:szCs w:val="20"/>
    </w:rPr>
  </w:style>
  <w:style w:type="character" w:customStyle="1" w:styleId="TextecourantCar">
    <w:name w:val="Texte courant Car"/>
    <w:basedOn w:val="Policepardfaut"/>
    <w:link w:val="Textecourant"/>
    <w:rPr>
      <w:rFonts w:ascii="AvenirNext LT Pro Cn" w:hAnsi="AvenirNext LT Pro Cn" w:cstheme="minorHAnsi"/>
      <w:sz w:val="20"/>
      <w:szCs w:val="20"/>
    </w:rPr>
  </w:style>
  <w:style w:type="paragraph" w:styleId="Pieddepage">
    <w:name w:val="footer"/>
    <w:basedOn w:val="Normal"/>
    <w:link w:val="PieddepageCar"/>
    <w:uiPriority w:val="99"/>
    <w:unhideWhenUsed/>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style>
  <w:style w:type="table" w:styleId="Grilledutableau">
    <w:name w:val="Table Grid"/>
    <w:basedOn w:val="TableauNormal"/>
    <w:uiPriority w:val="3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ListLabel24">
    <w:name w:val="ListLabel 24"/>
    <w:qFormat/>
    <w:rPr>
      <w:rFonts w:ascii="AvenirNext LT Pro Cn" w:hAnsi="AvenirNext LT Pro Cn" w:cstheme="minorHAnsi" w:hint="default"/>
    </w:rPr>
  </w:style>
  <w:style w:type="character" w:customStyle="1" w:styleId="Titre1Car">
    <w:name w:val="Titre 1 Car"/>
    <w:basedOn w:val="Policepardfaut"/>
    <w:link w:val="Titre1"/>
    <w:uiPriority w:val="9"/>
    <w:rPr>
      <w:rFonts w:ascii="Times New Roman" w:eastAsia="Times New Roman" w:hAnsi="Times New Roman" w:cs="Times New Roman"/>
      <w:b/>
      <w:bCs/>
      <w:sz w:val="48"/>
      <w:szCs w:val="48"/>
      <w:lang w:eastAsia="fr-FR"/>
    </w:rPr>
  </w:style>
  <w:style w:type="character" w:styleId="lev">
    <w:name w:val="Strong"/>
    <w:basedOn w:val="Policepardfaut"/>
    <w:uiPriority w:val="22"/>
    <w:qFormat/>
    <w:rPr>
      <w:b/>
      <w:bCs/>
    </w:rPr>
  </w:style>
  <w:style w:type="character" w:customStyle="1" w:styleId="Titre2Car">
    <w:name w:val="Titre 2 Car"/>
    <w:basedOn w:val="Policepardfaut"/>
    <w:link w:val="Titre2"/>
    <w:uiPriority w:val="9"/>
    <w:semiHidden/>
    <w:rPr>
      <w:rFonts w:asciiTheme="majorHAnsi" w:eastAsiaTheme="majorEastAsia" w:hAnsiTheme="majorHAnsi" w:cstheme="majorBidi"/>
      <w:color w:val="2E74B5" w:themeColor="accent1" w:themeShade="BF"/>
      <w:sz w:val="26"/>
      <w:szCs w:val="26"/>
    </w:rPr>
  </w:style>
  <w:style w:type="character" w:customStyle="1" w:styleId="Mentionnonrsolue1">
    <w:name w:val="Mention non résolue1"/>
    <w:basedOn w:val="Policepardfaut"/>
    <w:uiPriority w:val="99"/>
    <w:semiHidden/>
    <w:unhideWhenUsed/>
    <w:rPr>
      <w:color w:val="605E5C"/>
      <w:shd w:val="clear" w:color="auto" w:fill="E1DFDD"/>
    </w:rPr>
  </w:style>
  <w:style w:type="character" w:styleId="Mentionnonrsolue">
    <w:name w:val="Unresolved Mention"/>
    <w:basedOn w:val="Policepardfaut"/>
    <w:uiPriority w:val="99"/>
    <w:semiHidden/>
    <w:unhideWhenUsed/>
    <w:rsid w:val="00AD79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40168-025-02127-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sse@inrae.fr" TargetMode="External"/><Relationship Id="rId4" Type="http://schemas.openxmlformats.org/officeDocument/2006/relationships/settings" Target="settings.xml"/><Relationship Id="rId9" Type="http://schemas.openxmlformats.org/officeDocument/2006/relationships/hyperlink" Target="mailto:lionel.rigottier-gois@inrae.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jpg"/><Relationship Id="rId1" Type="http://schemas.openxmlformats.org/officeDocument/2006/relationships/image" Target="media/image1.jpg"/><Relationship Id="rId4" Type="http://schemas.openxmlformats.org/officeDocument/2006/relationships/image" Target="media/image2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4E147A-F780-4CB1-91F7-25C3E7FA5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3045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Poulet</dc:creator>
  <cp:lastModifiedBy>Christine Young</cp:lastModifiedBy>
  <cp:revision>2</cp:revision>
  <cp:lastPrinted>2025-05-21T12:54:00Z</cp:lastPrinted>
  <dcterms:created xsi:type="dcterms:W3CDTF">2025-05-21T13:47:00Z</dcterms:created>
  <dcterms:modified xsi:type="dcterms:W3CDTF">2025-05-21T13:47:00Z</dcterms:modified>
</cp:coreProperties>
</file>